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장로 선거의 허위사실 유포와 면직 이후의 교회 치리</w:t>
      </w:r>
    </w:p>
    <w:p>
      <w:pPr>
        <w:pStyle w:val="Subtitle"/>
      </w:pPr>
      <w:r>
        <w:t>기하성 교단헌법에 기초한 가상사례 연구 · 간략 요약보고서</w:t>
      </w:r>
    </w:p>
    <w:p>
      <w:pPr>
        <w:pStyle w:val="Heading1"/>
      </w:pPr>
      <w:r>
        <w:t>1. 서론 및 사례 제시</w:t>
      </w:r>
    </w:p>
    <w:p>
      <w:r>
        <w:t>A교회의 장로 후보인 안수집사 B와 C 중, B는 C의 낙선을 유도하려고 거짓임을 알면서 헌금 유용 의혹을 유포하였다. B는 피택·장립되었고 C는 낙선하였다. 장립 후 C의 고소로 B에게 벌금 250만 원이 확정되었다. C는 이용 가능한 내부절차와 정해진 사전승인을 거치지 않았다. 교단 심리에서 B는 장로직 면직, C는 별건 정직 1개월을 받았다. B의 상소는 기각되었으며 추가 불복 없이 두 처분이 확정·집행되었다.</w:t>
      </w:r>
    </w:p>
    <w:p>
      <w:pPr>
        <w:pStyle w:val="Heading1"/>
      </w:pPr>
      <w:r>
        <w:t>2. 헌법 조항 분석과 판단</w:t>
      </w:r>
    </w:p>
    <w:p>
      <w:r>
        <w:t>B의 고의적 허위 비방은 직분자 선출의 공적 신뢰를 정면으로 파괴한 행위이며, 벌금형은 헌법상 흠에 해당한다. 초범·인정·사과를 참작하되 행위의 중대성에 상응하여 면직이 가장 합당하다고 판단하였다. 회개의 인정과 현재 장로직의 지속 보유는 구별한다.</w:t>
      </w:r>
    </w:p>
    <w:p>
      <w:r>
        <w:t>C에게는 내부절차·사전승인 없는 직접 제소의 책임을 별도로 묻고, 피해구제 동기와 초범 등의 사정을 참작하여 정직 1개월을 결정하였다. C의 절차 위반이 B의 책임을 상쇄하지 않도록 하였다.</w:t>
      </w:r>
    </w:p>
    <w:p>
      <w:pPr>
        <w:pStyle w:val="Heading1"/>
      </w:pPr>
      <w:r>
        <w:t>3. 사건 접수와 적법한 행정 처리</w:t>
      </w:r>
    </w:p>
    <w:p>
      <w:r>
        <w:t>지방회 조사위원회는 B 사건을, 당회 조사위원회는 C 사건을 직권으로 조사·회부하고 각 징계위원회가 심리하였다. C는 B 사건의 피해자·증인으로 참여하였다. 증거 보전, 이해관계인 배제, 소명·반박·상소 기회를 보장하며 심리 중 제한과 확정 후 집행을 구분하였다.</w:t>
      </w:r>
    </w:p>
    <w:p>
      <w:pPr>
        <w:pStyle w:val="Heading1"/>
      </w:pPr>
      <w:r>
        <w:t>4. 징계결정·상소와 면직의 집행</w:t>
      </w:r>
    </w:p>
    <w:p>
      <w:r>
        <w:t>상소심은 형사처벌과 고의적 비방의 책임, 회개에 관한 채택 해석 및 면직의 필요성을 근거로 원심을 유지하였다. 각 관할 치리회는 확정된 처분을 집행하고 B의 장로직과 치리 권한을 종료하였다. 교인 제명이나 C의 당선을 선언하지 않고, 피해자의 명예 회복과 공동체 돌봄을 진행하였다.</w:t>
      </w:r>
    </w:p>
    <w:p>
      <w:pPr>
        <w:pStyle w:val="Heading1"/>
      </w:pPr>
      <w:r>
        <w:t>5. 회복·재발 방지와 규범 정비</w:t>
      </w:r>
    </w:p>
    <w:p>
      <w:r>
        <w:t>현행 규정에는 해벌·사면 제도가 있으나, 형사처벌과 면직에 따른 흠을 해소하여 B를 장로로 복권·재선임하는 구체적인 근거는 미정립되어 있다. 본 연구는 현 단계에서 이를 시행하지 않는다고 판단한다. 그러나 회복의 통로를 막으면 낙인·소외와 교회 이탈을 심화시킬 우려가 있으므로, 인도적·종교적 관점에서 회복과 다시 섬길 기회를 심사하는 법규를 마련하여야 한다.</w:t>
      </w:r>
    </w:p>
    <w:p>
      <w:r>
        <w:t>회개·피해 회복·봉사·공동체 신뢰를 심사하여 후보 자격을 회복하고 다시 추천·선출될 수 있는 절차를 정립하도록 건의한다. 기존 무흠 봉사 3년의 적용 방식, 형사처벌·교단 징계의 자격상 효과, 기간 기산점과 경력 인정, 종전 안수집사 지위, 관할·불복·재시무 절차를 함께 명문화하여야 한다. 피해자의 존엄과 의견을 존중하며 양 당사자의 신앙 회복을 지원한다.</w:t>
      </w:r>
    </w:p>
    <w:p>
      <w:r>
        <w:t>끝으로 벌금이 150만 원이었다면 헌법의 200만 원 기준과 규정집의 100만 원 기준 사이에서 흠의 판단이 엇갈릴 수 있다. 관련 기준을 일치시키고, 허위 비방의 책임은 별도로 판단하도록 정비하여야 한다.</w:t>
      </w:r>
    </w:p>
    <w:p>
      <w:pPr>
        <w:spacing w:before="140" w:after="140"/>
      </w:pPr>
      <w:r>
        <w:rPr>
          <w:b/>
        </w:rPr>
        <w:t>책임을 엄정히 묻되 사람의 회복을 포기하지 않는 것이 치리의 목적이다. 면직은 집행하고, 장래 자격 회복과 후보 재진입은 공정한 법규와 절차로 마련한다.</w:t>
      </w:r>
    </w:p>
    <w:p>
      <w:pPr>
        <w:spacing w:line="200" w:lineRule="exact" w:before="40" w:after="0"/>
      </w:pPr>
      <w:r>
        <w:rPr>
          <w:sz w:val="16"/>
        </w:rPr>
        <w:t>근거: 헌법 제34·47·76·119·120조 및 제10편 부칙 제1조; 권징 제3·4·8·15·48·90–94조; 규정집 제33조; 고후 2:6–8. 가상사례의 판단과 인도적·종교적 입법 건의를 요약하였다.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680" w:left="680" w:header="397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t xml:space="preserve">장로 선거 분쟁 · 면직과 회복   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color="ADB8C1" w:space="3"/>
      </w:pBdr>
    </w:pPr>
    <w:r>
      <w:t>기하성 교단헌법  |  가상사례 연구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Rule="exact" w:line="300" w:after="100" w:before="0"/>
      <w:ind w:firstLine="220"/>
      <w:jc w:val="both"/>
    </w:pPr>
    <w:rPr>
      <w:rFonts w:ascii="NanumMyeongjo" w:hAnsi="NanumMyeongjo" w:eastAsia="NanumMyeongjo" w:cs="NanumMyeongjo"/>
      <w:b w:val="0"/>
      <w:i w:val="0"/>
      <w:color w:val="161616"/>
      <w:sz w:val="22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00" w:lineRule="exact" w:before="0"/>
      <w:ind w:firstLine="0"/>
    </w:pPr>
    <w:rPr>
      <w:rFonts w:ascii="NanumGothic" w:hAnsi="NanumGothic" w:eastAsia="NanumGothic" w:cs="NanumGothic"/>
      <w:b w:val="0"/>
      <w:i w:val="0"/>
      <w:color w:val="59656D"/>
      <w:sz w:val="16"/>
      <w:lang w:val="ko-KR"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spacing w:after="0" w:line="200" w:lineRule="exact" w:before="0"/>
      <w:ind w:firstLine="0"/>
    </w:pPr>
    <w:rPr>
      <w:rFonts w:ascii="NanumGothic" w:hAnsi="NanumGothic" w:eastAsia="NanumGothic" w:cs="NanumGothic"/>
      <w:b w:val="0"/>
      <w:i w:val="0"/>
      <w:color w:val="59656D"/>
      <w:sz w:val="16"/>
      <w:lang w:val="ko-KR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widowControl/>
      <w:spacing w:before="180" w:after="80" w:lineRule="exact" w:line="340"/>
      <w:ind w:firstLine="0"/>
      <w:outlineLvl w:val="0"/>
    </w:pPr>
    <w:rPr>
      <w:rFonts w:asciiTheme="majorHAnsi" w:eastAsiaTheme="majorEastAsia" w:hAnsiTheme="majorHAnsi" w:cstheme="majorBidi" w:ascii="NanumGothic" w:hAnsi="NanumGothic" w:eastAsia="NanumGothic" w:cs="NanumGothic"/>
      <w:b/>
      <w:bCs/>
      <w:i w:val="0"/>
      <w:color w:val="172C3D"/>
      <w:sz w:val="25"/>
      <w:szCs w:val="28"/>
      <w:lang w:val="ko-KR"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40" w:after="30" w:lineRule="exact" w:line="260"/>
      <w:ind w:firstLine="0"/>
      <w:outlineLvl w:val="1"/>
    </w:pPr>
    <w:rPr>
      <w:rFonts w:asciiTheme="majorHAnsi" w:eastAsiaTheme="majorEastAsia" w:hAnsiTheme="majorHAnsi" w:cstheme="majorBidi" w:ascii="NanumGothic" w:hAnsi="NanumGothic" w:eastAsia="NanumGothic" w:cs="NanumGothic"/>
      <w:b/>
      <w:bCs/>
      <w:i w:val="0"/>
      <w:color w:val="172C3D"/>
      <w:sz w:val="21"/>
      <w:szCs w:val="26"/>
      <w:lang w:val="ko-KR"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60" w:line="400" w:lineRule="exact" w:before="0"/>
      <w:ind w:firstLine="0"/>
      <w:contextualSpacing/>
    </w:pPr>
    <w:rPr>
      <w:rFonts w:asciiTheme="majorHAnsi" w:eastAsiaTheme="majorEastAsia" w:hAnsiTheme="majorHAnsi" w:cstheme="majorBidi" w:ascii="NanumGothic" w:hAnsi="NanumGothic" w:eastAsia="NanumGothic" w:cs="NanumGothic"/>
      <w:b/>
      <w:i w:val="0"/>
      <w:color w:val="172C3D"/>
      <w:spacing w:val="5"/>
      <w:kern w:val="28"/>
      <w:sz w:val="28"/>
      <w:szCs w:val="52"/>
      <w:lang w:val="ko-KR"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lineRule="exact" w:line="240" w:after="100" w:before="0"/>
      <w:ind w:firstLine="0"/>
    </w:pPr>
    <w:rPr>
      <w:rFonts w:asciiTheme="majorHAnsi" w:eastAsiaTheme="majorEastAsia" w:hAnsiTheme="majorHAnsi" w:cstheme="majorBidi" w:ascii="NanumGothic" w:hAnsi="NanumGothic" w:eastAsia="NanumGothic" w:cs="NanumGothic"/>
      <w:b w:val="0"/>
      <w:i w:val="0"/>
      <w:iCs/>
      <w:color w:val="49545C"/>
      <w:spacing w:val="15"/>
      <w:sz w:val="19"/>
      <w:szCs w:val="24"/>
      <w:lang w:val="ko-KR"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pPr>
      <w:widowControl/>
      <w:spacing w:lineRule="exact" w:line="210" w:after="0" w:before="80"/>
      <w:ind w:firstLine="0"/>
      <w:jc w:val="left"/>
    </w:pPr>
    <w:rPr>
      <w:rFonts w:ascii="NanumGothic" w:hAnsi="NanumGothic" w:eastAsia="NanumGothic" w:cs="NanumGothic"/>
      <w:b w:val="0"/>
      <w:i w:val="0"/>
      <w:color w:val="4B545C"/>
      <w:sz w:val="17"/>
      <w:lang w:val="ko-KR" w:eastAsia="ko-K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장로 선거 분쟁 간략 요약보고서</dc:title>
  <dc:subject>면직의 집행과 인도적·종교적 자격 회복 법규 건의 요약</dc:subject>
  <dc:creator/>
  <cp:keywords>가상사례, 장로 선거, 면직, 회복, 재선임, 규범 정비</cp:keywords>
  <dc:description/>
  <cp:lastModifiedBy/>
  <cp:revision>1</cp:revision>
  <dcterms:created xsi:type="dcterms:W3CDTF">2013-12-23T23:15:00Z</dcterms:created>
  <dcterms:modified xsi:type="dcterms:W3CDTF">2013-12-23T23:15:00Z</dcterms:modified>
  <cp:category>가상사례 연구</cp:category>
</cp:coreProperties>
</file>